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16" w:rsidRPr="00236850" w:rsidRDefault="00AD4052" w:rsidP="001F1BD0">
      <w:pPr>
        <w:spacing w:before="100" w:beforeAutospacing="1" w:after="100" w:afterAutospacing="1"/>
        <w:jc w:val="center"/>
        <w:rPr>
          <w:rFonts w:asciiTheme="majorHAnsi" w:eastAsia="Times New Roman" w:hAnsiTheme="majorHAnsi"/>
        </w:rPr>
      </w:pPr>
      <w:r w:rsidRPr="00236850">
        <w:rPr>
          <w:rFonts w:asciiTheme="majorHAnsi" w:eastAsia="Times New Roman" w:hAnsiTheme="majorHAnsi"/>
        </w:rPr>
        <w:t>Are Y</w:t>
      </w:r>
      <w:r w:rsidR="00E30038" w:rsidRPr="00236850">
        <w:rPr>
          <w:rFonts w:asciiTheme="majorHAnsi" w:eastAsia="Times New Roman" w:hAnsiTheme="majorHAnsi"/>
        </w:rPr>
        <w:t xml:space="preserve">ou a </w:t>
      </w:r>
      <w:proofErr w:type="spellStart"/>
      <w:r w:rsidR="00E30038" w:rsidRPr="00236850">
        <w:rPr>
          <w:rFonts w:asciiTheme="majorHAnsi" w:eastAsia="Times New Roman" w:hAnsiTheme="majorHAnsi"/>
        </w:rPr>
        <w:t>HIP</w:t>
      </w:r>
      <w:r w:rsidR="00CC4116" w:rsidRPr="00236850">
        <w:rPr>
          <w:rFonts w:asciiTheme="majorHAnsi" w:eastAsia="Times New Roman" w:hAnsiTheme="majorHAnsi"/>
        </w:rPr>
        <w:t>ster</w:t>
      </w:r>
      <w:proofErr w:type="spellEnd"/>
      <w:r w:rsidR="00CC4116" w:rsidRPr="00236850">
        <w:rPr>
          <w:rFonts w:asciiTheme="majorHAnsi" w:eastAsia="Times New Roman" w:hAnsiTheme="majorHAnsi"/>
        </w:rPr>
        <w:t>?</w:t>
      </w:r>
    </w:p>
    <w:p w:rsidR="005C2B65" w:rsidRPr="00236850" w:rsidRDefault="001F1BD0" w:rsidP="00CE3987">
      <w:pPr>
        <w:spacing w:before="100" w:beforeAutospacing="1" w:after="100" w:afterAutospacing="1"/>
        <w:ind w:left="-270"/>
        <w:rPr>
          <w:rFonts w:asciiTheme="majorHAnsi" w:eastAsia="Times New Roman" w:hAnsiTheme="majorHAnsi"/>
        </w:rPr>
      </w:pPr>
      <w:r w:rsidRPr="00CE3987">
        <w:rPr>
          <w:rFonts w:asciiTheme="majorHAnsi" w:eastAsia="Times New Roman" w:hAnsiTheme="majorHAnsi"/>
          <w:b/>
        </w:rPr>
        <w:t>What is HIP?</w:t>
      </w:r>
      <w:r w:rsidRPr="00236850">
        <w:rPr>
          <w:rFonts w:asciiTheme="majorHAnsi" w:eastAsia="Times New Roman" w:hAnsiTheme="majorHAnsi"/>
        </w:rPr>
        <w:t xml:space="preserve"> </w:t>
      </w:r>
      <w:r w:rsidR="005C2B65" w:rsidRPr="00236850">
        <w:rPr>
          <w:rFonts w:asciiTheme="majorHAnsi" w:eastAsia="Times New Roman" w:hAnsiTheme="majorHAnsi"/>
        </w:rPr>
        <w:t xml:space="preserve">Community colleges </w:t>
      </w:r>
      <w:r w:rsidR="002F6737" w:rsidRPr="00236850">
        <w:rPr>
          <w:rFonts w:asciiTheme="majorHAnsi" w:eastAsia="Times New Roman" w:hAnsiTheme="majorHAnsi"/>
        </w:rPr>
        <w:t xml:space="preserve">nationally </w:t>
      </w:r>
      <w:r w:rsidR="005C2B65" w:rsidRPr="00236850">
        <w:rPr>
          <w:rFonts w:asciiTheme="majorHAnsi" w:eastAsia="Times New Roman" w:hAnsiTheme="majorHAnsi"/>
        </w:rPr>
        <w:t>have developed creative and data-driven initiatives that have proven effective in enhancing college-wide key performance indicators for underserved and underprepared students. The Center for Community Col</w:t>
      </w:r>
      <w:r w:rsidR="002F6737" w:rsidRPr="00236850">
        <w:rPr>
          <w:rFonts w:asciiTheme="majorHAnsi" w:eastAsia="Times New Roman" w:hAnsiTheme="majorHAnsi"/>
        </w:rPr>
        <w:t>lege Student Engagement (CCCSE)</w:t>
      </w:r>
      <w:r w:rsidR="005C2B65" w:rsidRPr="00236850">
        <w:rPr>
          <w:rFonts w:asciiTheme="majorHAnsi" w:eastAsia="Times New Roman" w:hAnsiTheme="majorHAnsi"/>
        </w:rPr>
        <w:t xml:space="preserve"> has worked with community colleges to identify a handful of promising high-impact educational practices (</w:t>
      </w:r>
      <w:r w:rsidR="005C2B65" w:rsidRPr="00236850">
        <w:rPr>
          <w:rFonts w:asciiTheme="majorHAnsi" w:eastAsia="Times New Roman" w:hAnsiTheme="majorHAnsi"/>
          <w:b/>
        </w:rPr>
        <w:t>HIP</w:t>
      </w:r>
      <w:r w:rsidR="005C2B65" w:rsidRPr="00236850">
        <w:rPr>
          <w:rFonts w:asciiTheme="majorHAnsi" w:eastAsia="Times New Roman" w:hAnsiTheme="majorHAnsi"/>
        </w:rPr>
        <w:t xml:space="preserve">). Palo Alto College has identified the following high impact education practices </w:t>
      </w:r>
      <w:r w:rsidR="002F6737" w:rsidRPr="00236850">
        <w:rPr>
          <w:rFonts w:asciiTheme="majorHAnsi" w:eastAsia="Times New Roman" w:hAnsiTheme="majorHAnsi"/>
        </w:rPr>
        <w:t xml:space="preserve">(HIPs) </w:t>
      </w:r>
      <w:r w:rsidR="005C2B65" w:rsidRPr="00236850">
        <w:rPr>
          <w:rFonts w:asciiTheme="majorHAnsi" w:eastAsia="Times New Roman" w:hAnsiTheme="majorHAnsi"/>
        </w:rPr>
        <w:t>as those that</w:t>
      </w:r>
      <w:r w:rsidR="002F6737" w:rsidRPr="00236850">
        <w:rPr>
          <w:rFonts w:asciiTheme="majorHAnsi" w:eastAsia="Times New Roman" w:hAnsiTheme="majorHAnsi"/>
        </w:rPr>
        <w:t xml:space="preserve"> can best serve our students by impro</w:t>
      </w:r>
      <w:bookmarkStart w:id="0" w:name="_GoBack"/>
      <w:bookmarkEnd w:id="0"/>
      <w:r w:rsidR="002F6737" w:rsidRPr="00236850">
        <w:rPr>
          <w:rFonts w:asciiTheme="majorHAnsi" w:eastAsia="Times New Roman" w:hAnsiTheme="majorHAnsi"/>
        </w:rPr>
        <w:t>ving</w:t>
      </w:r>
      <w:r w:rsidR="005C2B65" w:rsidRPr="00236850">
        <w:rPr>
          <w:rFonts w:asciiTheme="majorHAnsi" w:eastAsia="Times New Roman" w:hAnsiTheme="majorHAnsi"/>
        </w:rPr>
        <w:t xml:space="preserve"> student persistence, </w:t>
      </w:r>
      <w:r w:rsidR="002F6737" w:rsidRPr="00236850">
        <w:rPr>
          <w:rFonts w:asciiTheme="majorHAnsi" w:eastAsia="Times New Roman" w:hAnsiTheme="majorHAnsi"/>
        </w:rPr>
        <w:t>retention,</w:t>
      </w:r>
      <w:r w:rsidR="005C2B65" w:rsidRPr="00236850">
        <w:rPr>
          <w:rFonts w:asciiTheme="majorHAnsi" w:eastAsia="Times New Roman" w:hAnsiTheme="majorHAnsi"/>
        </w:rPr>
        <w:t xml:space="preserve"> productive grade rate, graduation rates, and reduc</w:t>
      </w:r>
      <w:r w:rsidR="002F6737" w:rsidRPr="00236850">
        <w:rPr>
          <w:rFonts w:asciiTheme="majorHAnsi" w:eastAsia="Times New Roman" w:hAnsiTheme="majorHAnsi"/>
        </w:rPr>
        <w:t>ing</w:t>
      </w:r>
      <w:r w:rsidR="005C2B65" w:rsidRPr="00236850">
        <w:rPr>
          <w:rFonts w:asciiTheme="majorHAnsi" w:eastAsia="Times New Roman" w:hAnsiTheme="majorHAnsi"/>
        </w:rPr>
        <w:t xml:space="preserve"> the amount of time students spend linge</w:t>
      </w:r>
      <w:r w:rsidR="002F6737" w:rsidRPr="00236850">
        <w:rPr>
          <w:rFonts w:asciiTheme="majorHAnsi" w:eastAsia="Times New Roman" w:hAnsiTheme="majorHAnsi"/>
        </w:rPr>
        <w:t xml:space="preserve">ring in developmental education. </w:t>
      </w:r>
      <w:r w:rsidR="00040BAC">
        <w:rPr>
          <w:rFonts w:asciiTheme="majorHAnsi" w:eastAsia="Times New Roman" w:hAnsiTheme="majorHAnsi"/>
        </w:rPr>
        <w:t>PAC’s</w:t>
      </w:r>
      <w:r w:rsidR="002F6737" w:rsidRPr="00236850">
        <w:rPr>
          <w:rFonts w:asciiTheme="majorHAnsi" w:eastAsia="Times New Roman" w:hAnsiTheme="majorHAnsi"/>
        </w:rPr>
        <w:t xml:space="preserve"> HIPs are:</w:t>
      </w:r>
    </w:p>
    <w:p w:rsidR="00040BAC" w:rsidRDefault="00040BAC" w:rsidP="00040BA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/>
        </w:rPr>
        <w:sectPr w:rsidR="00040BAC" w:rsidSect="00040BAC">
          <w:headerReference w:type="default" r:id="rId8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5C2B65" w:rsidRPr="00236850" w:rsidRDefault="005C2B65" w:rsidP="00040BA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236850">
        <w:rPr>
          <w:rFonts w:asciiTheme="majorHAnsi" w:eastAsia="Times New Roman" w:hAnsiTheme="majorHAnsi"/>
        </w:rPr>
        <w:lastRenderedPageBreak/>
        <w:t>Required Tutoring</w:t>
      </w:r>
    </w:p>
    <w:p w:rsidR="005C2B65" w:rsidRPr="00236850" w:rsidRDefault="005C2B65" w:rsidP="00040BA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236850">
        <w:rPr>
          <w:rFonts w:asciiTheme="majorHAnsi" w:eastAsia="Times New Roman" w:hAnsiTheme="majorHAnsi"/>
        </w:rPr>
        <w:t>New Student Orientation (NSO)</w:t>
      </w:r>
    </w:p>
    <w:p w:rsidR="005C2B65" w:rsidRPr="00236850" w:rsidRDefault="005C2B65" w:rsidP="00040BA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236850">
        <w:rPr>
          <w:rFonts w:asciiTheme="majorHAnsi" w:eastAsia="Times New Roman" w:hAnsiTheme="majorHAnsi"/>
        </w:rPr>
        <w:t>New Student Convocation (NSC)</w:t>
      </w:r>
    </w:p>
    <w:p w:rsidR="005C2B65" w:rsidRPr="00236850" w:rsidRDefault="005C2B65" w:rsidP="00040BA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236850">
        <w:rPr>
          <w:rFonts w:asciiTheme="majorHAnsi" w:eastAsia="Times New Roman" w:hAnsiTheme="majorHAnsi"/>
        </w:rPr>
        <w:lastRenderedPageBreak/>
        <w:t>Learning Communities</w:t>
      </w:r>
    </w:p>
    <w:p w:rsidR="005C2B65" w:rsidRPr="00236850" w:rsidRDefault="005C2B65" w:rsidP="00040BA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236850">
        <w:rPr>
          <w:rFonts w:asciiTheme="majorHAnsi" w:eastAsia="Times New Roman" w:hAnsiTheme="majorHAnsi"/>
        </w:rPr>
        <w:t>Peer Advising</w:t>
      </w:r>
    </w:p>
    <w:p w:rsidR="000204FB" w:rsidRPr="00236850" w:rsidRDefault="000204FB" w:rsidP="00040BA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236850">
        <w:rPr>
          <w:rFonts w:asciiTheme="majorHAnsi" w:eastAsia="Times New Roman" w:hAnsiTheme="majorHAnsi"/>
        </w:rPr>
        <w:t>Problem-based Learning (PBL)</w:t>
      </w:r>
    </w:p>
    <w:p w:rsidR="00040BAC" w:rsidRDefault="00040BAC" w:rsidP="003A66FF">
      <w:pPr>
        <w:spacing w:before="100" w:beforeAutospacing="1" w:after="100" w:afterAutospacing="1"/>
        <w:rPr>
          <w:rFonts w:asciiTheme="majorHAnsi" w:eastAsia="Times New Roman" w:hAnsiTheme="majorHAnsi"/>
          <w:b/>
        </w:rPr>
        <w:sectPr w:rsidR="00040BAC" w:rsidSect="00040B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2B65" w:rsidRPr="00236850" w:rsidRDefault="004E7668" w:rsidP="00040BAC">
      <w:pPr>
        <w:spacing w:after="120"/>
        <w:rPr>
          <w:rFonts w:asciiTheme="majorHAnsi" w:eastAsia="Times New Roman" w:hAnsiTheme="majorHAnsi"/>
          <w:b/>
        </w:rPr>
      </w:pPr>
      <w:r w:rsidRPr="00236850">
        <w:rPr>
          <w:rFonts w:asciiTheme="majorHAnsi" w:eastAsia="Times New Roman" w:hAnsiTheme="majorHAnsi"/>
          <w:b/>
        </w:rPr>
        <w:lastRenderedPageBreak/>
        <w:t>Why is it beneficial for students to participate in each High Impact Practice (HIP)?</w:t>
      </w:r>
    </w:p>
    <w:p w:rsidR="00E30038" w:rsidRPr="00236850" w:rsidRDefault="004E7668" w:rsidP="00040BAC">
      <w:pPr>
        <w:spacing w:before="120"/>
        <w:contextualSpacing/>
        <w:rPr>
          <w:rFonts w:asciiTheme="majorHAnsi" w:hAnsiTheme="majorHAnsi"/>
        </w:rPr>
      </w:pPr>
      <w:r w:rsidRPr="00236850">
        <w:rPr>
          <w:rFonts w:asciiTheme="majorHAnsi" w:eastAsia="Times New Roman" w:hAnsiTheme="majorHAnsi"/>
          <w:u w:val="single"/>
        </w:rPr>
        <w:t>Required Tutoring</w:t>
      </w:r>
      <w:r w:rsidRPr="00236850">
        <w:rPr>
          <w:rFonts w:asciiTheme="majorHAnsi" w:eastAsia="Times New Roman" w:hAnsiTheme="majorHAnsi"/>
        </w:rPr>
        <w:t>:</w:t>
      </w:r>
      <w:r w:rsidR="00E30038" w:rsidRPr="00236850">
        <w:rPr>
          <w:rFonts w:asciiTheme="majorHAnsi" w:hAnsiTheme="majorHAnsi"/>
        </w:rPr>
        <w:t xml:space="preserve"> </w:t>
      </w:r>
      <w:r w:rsidR="00871F45" w:rsidRPr="00236850">
        <w:rPr>
          <w:rFonts w:asciiTheme="majorHAnsi" w:hAnsiTheme="majorHAnsi"/>
        </w:rPr>
        <w:t>Starting this fall, MATH 0301 and 0302 students in 16-week, face-to-face courses will be required to attend tutoring for one hour per week.</w:t>
      </w:r>
      <w:r w:rsidR="002F6737" w:rsidRPr="00236850">
        <w:rPr>
          <w:rFonts w:asciiTheme="majorHAnsi" w:hAnsiTheme="majorHAnsi"/>
        </w:rPr>
        <w:t xml:space="preserve"> Specifically, </w:t>
      </w:r>
      <w:r w:rsidR="00E30038" w:rsidRPr="00236850">
        <w:rPr>
          <w:rFonts w:asciiTheme="majorHAnsi" w:hAnsiTheme="majorHAnsi"/>
        </w:rPr>
        <w:t>0301 students will come to</w:t>
      </w:r>
      <w:r w:rsidR="002F6737" w:rsidRPr="00236850">
        <w:rPr>
          <w:rFonts w:asciiTheme="majorHAnsi" w:hAnsiTheme="majorHAnsi"/>
        </w:rPr>
        <w:t xml:space="preserve"> the lab with their instructors, while </w:t>
      </w:r>
      <w:r w:rsidR="00E30038" w:rsidRPr="00236850">
        <w:rPr>
          <w:rFonts w:asciiTheme="majorHAnsi" w:hAnsiTheme="majorHAnsi"/>
        </w:rPr>
        <w:t>0302 students will sign up to attend tutoring during specific times.</w:t>
      </w:r>
    </w:p>
    <w:p w:rsidR="0083247F" w:rsidRPr="00236850" w:rsidRDefault="00236850" w:rsidP="003C448B">
      <w:pPr>
        <w:spacing w:before="120"/>
        <w:ind w:left="72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Requir</w:t>
      </w:r>
      <w:r w:rsidR="003C448B">
        <w:rPr>
          <w:rFonts w:asciiTheme="majorHAnsi" w:hAnsiTheme="majorHAnsi"/>
          <w:u w:val="single"/>
        </w:rPr>
        <w:t>ed Tutoring benefits students</w:t>
      </w:r>
      <w:r w:rsidR="002F6737" w:rsidRPr="00236850">
        <w:rPr>
          <w:rFonts w:asciiTheme="majorHAnsi" w:hAnsiTheme="majorHAnsi"/>
        </w:rPr>
        <w:t xml:space="preserve">: </w:t>
      </w:r>
      <w:r w:rsidR="0083247F" w:rsidRPr="00236850">
        <w:rPr>
          <w:rFonts w:asciiTheme="majorHAnsi" w:hAnsiTheme="majorHAnsi"/>
        </w:rPr>
        <w:t xml:space="preserve">Institutional data demonstrates for Fall 2012, </w:t>
      </w:r>
      <w:r w:rsidR="002F6737" w:rsidRPr="00236850">
        <w:rPr>
          <w:rFonts w:asciiTheme="majorHAnsi" w:hAnsiTheme="majorHAnsi"/>
        </w:rPr>
        <w:t xml:space="preserve">tutored </w:t>
      </w:r>
      <w:r w:rsidR="0083247F" w:rsidRPr="00236850">
        <w:rPr>
          <w:rFonts w:asciiTheme="majorHAnsi" w:hAnsiTheme="majorHAnsi"/>
        </w:rPr>
        <w:t>Ma</w:t>
      </w:r>
      <w:r w:rsidR="002F6737" w:rsidRPr="00236850">
        <w:rPr>
          <w:rFonts w:asciiTheme="majorHAnsi" w:hAnsiTheme="majorHAnsi"/>
        </w:rPr>
        <w:t>t</w:t>
      </w:r>
      <w:r w:rsidR="0083247F" w:rsidRPr="00236850">
        <w:rPr>
          <w:rFonts w:asciiTheme="majorHAnsi" w:hAnsiTheme="majorHAnsi"/>
        </w:rPr>
        <w:t>h 0301 students had</w:t>
      </w:r>
      <w:r w:rsidR="002F6737" w:rsidRPr="00236850">
        <w:rPr>
          <w:rFonts w:asciiTheme="majorHAnsi" w:hAnsiTheme="majorHAnsi"/>
        </w:rPr>
        <w:t xml:space="preserve"> a</w:t>
      </w:r>
      <w:r w:rsidR="0083247F" w:rsidRPr="00236850">
        <w:rPr>
          <w:rFonts w:asciiTheme="majorHAnsi" w:hAnsiTheme="majorHAnsi"/>
        </w:rPr>
        <w:t xml:space="preserve"> 7% higher productive grade rates (PGR-grades of A, B, or C) and tutored Math 0302 students had 19% higher PGRs.</w:t>
      </w:r>
    </w:p>
    <w:p w:rsidR="00271E68" w:rsidRDefault="00271E68" w:rsidP="003C448B">
      <w:pPr>
        <w:rPr>
          <w:rFonts w:asciiTheme="majorHAnsi" w:eastAsia="Times New Roman" w:hAnsiTheme="majorHAnsi"/>
          <w:u w:val="single"/>
        </w:rPr>
      </w:pPr>
    </w:p>
    <w:p w:rsidR="00F957D5" w:rsidRDefault="00F957D5" w:rsidP="00F957D5">
      <w:r w:rsidRPr="00F957D5">
        <w:rPr>
          <w:rFonts w:ascii="Cambria" w:hAnsi="Cambria"/>
          <w:u w:val="single"/>
        </w:rPr>
        <w:t>New Student Orientation</w:t>
      </w:r>
      <w:r>
        <w:rPr>
          <w:rFonts w:ascii="Cambria" w:hAnsi="Cambria"/>
          <w:u w:val="single"/>
        </w:rPr>
        <w:t xml:space="preserve"> (NSO)</w:t>
      </w:r>
      <w:r>
        <w:rPr>
          <w:rFonts w:ascii="Cambria" w:hAnsi="Cambria"/>
        </w:rPr>
        <w:t>: I</w:t>
      </w:r>
      <w:r w:rsidR="00040BAC">
        <w:rPr>
          <w:rFonts w:ascii="Cambria" w:hAnsi="Cambria"/>
        </w:rPr>
        <w:t>n</w:t>
      </w:r>
      <w:r>
        <w:rPr>
          <w:rFonts w:ascii="Cambria" w:hAnsi="Cambria"/>
        </w:rPr>
        <w:t xml:space="preserve">cludes an overview of resources, a campus tour, lunch, and academic advising assistance. Students are exposed to key services, like Financial Aid and Scholarship opportunities, enabling them to make well-informed choices and decisions. In addition, new students and their families are informed about educational pathways and the accompanying programmatic options. </w:t>
      </w:r>
    </w:p>
    <w:p w:rsidR="00F957D5" w:rsidRDefault="00F957D5" w:rsidP="00F957D5">
      <w:r>
        <w:rPr>
          <w:rFonts w:ascii="Tahoma" w:hAnsi="Tahoma" w:cs="Tahoma"/>
        </w:rPr>
        <w:t> </w:t>
      </w:r>
    </w:p>
    <w:p w:rsidR="00F957D5" w:rsidRPr="00F957D5" w:rsidRDefault="00F957D5" w:rsidP="00F957D5">
      <w:pPr>
        <w:pStyle w:val="ListParagraph"/>
        <w:rPr>
          <w:rFonts w:ascii="Cambria" w:hAnsi="Cambria"/>
          <w:u w:val="single"/>
        </w:rPr>
      </w:pPr>
      <w:r w:rsidRPr="00F957D5">
        <w:rPr>
          <w:rFonts w:ascii="Cambria" w:hAnsi="Cambria"/>
          <w:u w:val="single"/>
        </w:rPr>
        <w:t>NSO benefits students</w:t>
      </w:r>
      <w:r w:rsidR="00040BAC">
        <w:rPr>
          <w:rFonts w:ascii="Cambria" w:hAnsi="Cambria"/>
          <w:u w:val="single"/>
        </w:rPr>
        <w:t xml:space="preserve"> by</w:t>
      </w:r>
      <w:r w:rsidRPr="00F957D5">
        <w:rPr>
          <w:rFonts w:ascii="Cambria" w:hAnsi="Cambria"/>
          <w:u w:val="single"/>
        </w:rPr>
        <w:t>:</w:t>
      </w:r>
    </w:p>
    <w:p w:rsidR="00F957D5" w:rsidRDefault="00040BAC" w:rsidP="00F957D5">
      <w:pPr>
        <w:pStyle w:val="ListParagraph"/>
        <w:numPr>
          <w:ilvl w:val="0"/>
          <w:numId w:val="35"/>
        </w:numPr>
        <w:tabs>
          <w:tab w:val="clear" w:pos="720"/>
        </w:tabs>
        <w:ind w:left="900" w:hanging="180"/>
      </w:pPr>
      <w:r>
        <w:rPr>
          <w:rFonts w:ascii="Cambria" w:hAnsi="Cambria"/>
        </w:rPr>
        <w:t xml:space="preserve">Increasing retention rates.  </w:t>
      </w:r>
      <w:r w:rsidR="00F957D5">
        <w:rPr>
          <w:rFonts w:ascii="Cambria" w:hAnsi="Cambria"/>
        </w:rPr>
        <w:t xml:space="preserve">The J. </w:t>
      </w:r>
      <w:proofErr w:type="spellStart"/>
      <w:r w:rsidR="00F957D5">
        <w:rPr>
          <w:rFonts w:ascii="Cambria" w:hAnsi="Cambria"/>
        </w:rPr>
        <w:t>Sargeant</w:t>
      </w:r>
      <w:proofErr w:type="spellEnd"/>
      <w:r w:rsidR="00F957D5">
        <w:rPr>
          <w:rFonts w:ascii="Cambria" w:hAnsi="Cambria"/>
        </w:rPr>
        <w:t xml:space="preserve"> Reynolds Community College has found that students experience higher Mean Grade Point Average and retention rates after participating in the Student Orientation, Advising and Registration (SOAR) Program (</w:t>
      </w:r>
      <w:proofErr w:type="spellStart"/>
      <w:r w:rsidR="00F957D5">
        <w:rPr>
          <w:rFonts w:ascii="Cambria" w:hAnsi="Cambria"/>
        </w:rPr>
        <w:t>Hollins</w:t>
      </w:r>
      <w:proofErr w:type="spellEnd"/>
      <w:r w:rsidR="00F957D5">
        <w:rPr>
          <w:rFonts w:ascii="Cambria" w:hAnsi="Cambria"/>
        </w:rPr>
        <w:t>, 2009).</w:t>
      </w:r>
    </w:p>
    <w:p w:rsidR="00F957D5" w:rsidRDefault="00040BAC" w:rsidP="00F957D5">
      <w:pPr>
        <w:pStyle w:val="ListParagraph"/>
        <w:numPr>
          <w:ilvl w:val="0"/>
          <w:numId w:val="35"/>
        </w:numPr>
        <w:tabs>
          <w:tab w:val="clear" w:pos="720"/>
        </w:tabs>
        <w:ind w:left="900" w:hanging="180"/>
      </w:pPr>
      <w:r>
        <w:rPr>
          <w:rFonts w:ascii="Cambria" w:hAnsi="Cambria"/>
        </w:rPr>
        <w:t>Providing s</w:t>
      </w:r>
      <w:r w:rsidR="00F957D5">
        <w:rPr>
          <w:rFonts w:ascii="Cambria" w:hAnsi="Cambria"/>
        </w:rPr>
        <w:t>tudents</w:t>
      </w:r>
      <w:r>
        <w:rPr>
          <w:rFonts w:ascii="Cambria" w:hAnsi="Cambria"/>
        </w:rPr>
        <w:t xml:space="preserve"> an opportunity to</w:t>
      </w:r>
      <w:r w:rsidR="00F957D5">
        <w:rPr>
          <w:rFonts w:ascii="Cambria" w:hAnsi="Cambria"/>
        </w:rPr>
        <w:t xml:space="preserve"> develop a rapport with faculty and academic advisors during advising sessions and understand course expectations through conversations with faculty.</w:t>
      </w:r>
    </w:p>
    <w:p w:rsidR="00040BAC" w:rsidRPr="00040BAC" w:rsidRDefault="00D96A01" w:rsidP="00040BAC">
      <w:pPr>
        <w:ind w:left="720"/>
        <w:rPr>
          <w:rFonts w:ascii="Cambria" w:hAnsi="Cambria"/>
          <w:u w:val="single"/>
        </w:rPr>
      </w:pPr>
      <w:proofErr w:type="spellStart"/>
      <w:r>
        <w:rPr>
          <w:rFonts w:ascii="Cambria" w:hAnsi="Cambria"/>
          <w:u w:val="single"/>
        </w:rPr>
        <w:t>HIP</w:t>
      </w:r>
      <w:r w:rsidR="00040BAC" w:rsidRPr="00040BAC">
        <w:rPr>
          <w:rFonts w:ascii="Cambria" w:hAnsi="Cambria"/>
          <w:u w:val="single"/>
        </w:rPr>
        <w:t>ster</w:t>
      </w:r>
      <w:proofErr w:type="spellEnd"/>
      <w:r w:rsidR="00040BAC" w:rsidRPr="00040BAC">
        <w:rPr>
          <w:rFonts w:ascii="Cambria" w:hAnsi="Cambria"/>
          <w:u w:val="single"/>
        </w:rPr>
        <w:t xml:space="preserve"> Factoids:</w:t>
      </w:r>
    </w:p>
    <w:p w:rsidR="00F957D5" w:rsidRDefault="00F957D5" w:rsidP="00F957D5">
      <w:pPr>
        <w:pStyle w:val="ListParagraph"/>
        <w:numPr>
          <w:ilvl w:val="0"/>
          <w:numId w:val="35"/>
        </w:numPr>
        <w:tabs>
          <w:tab w:val="clear" w:pos="720"/>
        </w:tabs>
        <w:ind w:left="900" w:hanging="180"/>
      </w:pPr>
      <w:r>
        <w:rPr>
          <w:rFonts w:ascii="Cambria" w:hAnsi="Cambria"/>
        </w:rPr>
        <w:t xml:space="preserve">During the </w:t>
      </w:r>
      <w:proofErr w:type="gramStart"/>
      <w:r>
        <w:rPr>
          <w:rFonts w:ascii="Cambria" w:hAnsi="Cambria"/>
        </w:rPr>
        <w:t>Summer</w:t>
      </w:r>
      <w:proofErr w:type="gramEnd"/>
      <w:r>
        <w:rPr>
          <w:rFonts w:ascii="Cambria" w:hAnsi="Cambria"/>
        </w:rPr>
        <w:t xml:space="preserve"> 2012 NSO sessions, out of the 1,380 students who </w:t>
      </w:r>
      <w:proofErr w:type="spellStart"/>
      <w:r>
        <w:rPr>
          <w:rFonts w:ascii="Cambria" w:hAnsi="Cambria"/>
        </w:rPr>
        <w:t>RSVPd</w:t>
      </w:r>
      <w:proofErr w:type="spellEnd"/>
      <w:r>
        <w:rPr>
          <w:rFonts w:ascii="Cambria" w:hAnsi="Cambria"/>
        </w:rPr>
        <w:t xml:space="preserve"> to attend a New Student Orientation, 1,217 registered for courses. </w:t>
      </w:r>
    </w:p>
    <w:p w:rsidR="00F957D5" w:rsidRDefault="00F957D5" w:rsidP="00F957D5">
      <w:pPr>
        <w:numPr>
          <w:ilvl w:val="0"/>
          <w:numId w:val="35"/>
        </w:numPr>
        <w:tabs>
          <w:tab w:val="clear" w:pos="720"/>
        </w:tabs>
        <w:ind w:left="900" w:hanging="180"/>
        <w:rPr>
          <w:rFonts w:eastAsia="Times New Roman"/>
        </w:rPr>
      </w:pPr>
      <w:r>
        <w:rPr>
          <w:rFonts w:ascii="Cambria" w:eastAsia="Times New Roman" w:hAnsi="Cambria"/>
        </w:rPr>
        <w:t>1</w:t>
      </w:r>
      <w:r w:rsidR="00EF3656">
        <w:rPr>
          <w:rFonts w:ascii="Cambria" w:eastAsia="Times New Roman" w:hAnsi="Cambria"/>
        </w:rPr>
        <w:t>3</w:t>
      </w:r>
      <w:r>
        <w:rPr>
          <w:rFonts w:ascii="Cambria" w:eastAsia="Times New Roman" w:hAnsi="Cambria"/>
        </w:rPr>
        <w:t xml:space="preserve"> NSOs were conducted throughout the Summer of 2013 with attendance of </w:t>
      </w:r>
      <w:r w:rsidR="009D4CBB">
        <w:rPr>
          <w:rFonts w:ascii="Cambria" w:eastAsia="Times New Roman" w:hAnsi="Cambria"/>
        </w:rPr>
        <w:t>1240.</w:t>
      </w:r>
    </w:p>
    <w:p w:rsidR="00F957D5" w:rsidRDefault="00F957D5" w:rsidP="00F957D5">
      <w:pPr>
        <w:pStyle w:val="ListParagraph"/>
        <w:numPr>
          <w:ilvl w:val="0"/>
          <w:numId w:val="35"/>
        </w:numPr>
        <w:tabs>
          <w:tab w:val="clear" w:pos="720"/>
        </w:tabs>
        <w:ind w:left="900" w:hanging="180"/>
      </w:pPr>
      <w:r>
        <w:rPr>
          <w:rFonts w:ascii="Cambria" w:hAnsi="Cambria"/>
        </w:rPr>
        <w:t xml:space="preserve">87 Staff members from across the college have assisted with NSO this </w:t>
      </w:r>
      <w:proofErr w:type="gramStart"/>
      <w:r>
        <w:rPr>
          <w:rFonts w:ascii="Cambria" w:hAnsi="Cambria"/>
        </w:rPr>
        <w:t>Summer</w:t>
      </w:r>
      <w:proofErr w:type="gramEnd"/>
      <w:r>
        <w:rPr>
          <w:rFonts w:ascii="Cambria" w:hAnsi="Cambria"/>
        </w:rPr>
        <w:t>.</w:t>
      </w:r>
    </w:p>
    <w:p w:rsidR="00F957D5" w:rsidRDefault="00F957D5" w:rsidP="00F957D5">
      <w:pPr>
        <w:pStyle w:val="ListParagraph"/>
        <w:numPr>
          <w:ilvl w:val="0"/>
          <w:numId w:val="35"/>
        </w:numPr>
        <w:tabs>
          <w:tab w:val="clear" w:pos="720"/>
        </w:tabs>
        <w:ind w:left="900" w:hanging="180"/>
      </w:pPr>
      <w:r>
        <w:rPr>
          <w:rFonts w:ascii="Cambria" w:hAnsi="Cambria"/>
        </w:rPr>
        <w:t xml:space="preserve">26 Faculty members have assisted with advising sessions this </w:t>
      </w:r>
      <w:proofErr w:type="gramStart"/>
      <w:r>
        <w:rPr>
          <w:rFonts w:ascii="Cambria" w:hAnsi="Cambria"/>
        </w:rPr>
        <w:t>Summer</w:t>
      </w:r>
      <w:proofErr w:type="gramEnd"/>
      <w:r>
        <w:rPr>
          <w:rFonts w:ascii="Cambria" w:hAnsi="Cambria"/>
        </w:rPr>
        <w:t>.</w:t>
      </w:r>
    </w:p>
    <w:p w:rsidR="00F957D5" w:rsidRDefault="00F957D5" w:rsidP="003C448B">
      <w:pPr>
        <w:rPr>
          <w:rFonts w:asciiTheme="majorHAnsi" w:eastAsia="Times New Roman" w:hAnsiTheme="majorHAnsi"/>
          <w:u w:val="single"/>
        </w:rPr>
      </w:pPr>
    </w:p>
    <w:p w:rsidR="005A7736" w:rsidRDefault="004E7668" w:rsidP="005A7736">
      <w:pPr>
        <w:rPr>
          <w:rFonts w:asciiTheme="majorHAnsi" w:hAnsiTheme="majorHAnsi"/>
        </w:rPr>
      </w:pPr>
      <w:r w:rsidRPr="00236850">
        <w:rPr>
          <w:rFonts w:asciiTheme="majorHAnsi" w:eastAsia="Times New Roman" w:hAnsiTheme="majorHAnsi"/>
          <w:u w:val="single"/>
        </w:rPr>
        <w:t>New Student Convocation</w:t>
      </w:r>
      <w:r w:rsidR="00AD4052" w:rsidRPr="00236850">
        <w:rPr>
          <w:rFonts w:asciiTheme="majorHAnsi" w:eastAsia="Times New Roman" w:hAnsiTheme="majorHAnsi"/>
        </w:rPr>
        <w:t>-</w:t>
      </w:r>
      <w:r w:rsidR="005A7736" w:rsidRPr="00236850">
        <w:rPr>
          <w:rFonts w:asciiTheme="majorHAnsi" w:hAnsiTheme="majorHAnsi"/>
        </w:rPr>
        <w:t xml:space="preserve"> </w:t>
      </w:r>
      <w:r w:rsidR="008457C6">
        <w:rPr>
          <w:rFonts w:asciiTheme="majorHAnsi" w:hAnsiTheme="majorHAnsi"/>
        </w:rPr>
        <w:t>This fall,</w:t>
      </w:r>
      <w:r w:rsidR="005A7736" w:rsidRPr="00236850">
        <w:rPr>
          <w:rFonts w:asciiTheme="majorHAnsi" w:hAnsiTheme="majorHAnsi"/>
        </w:rPr>
        <w:t xml:space="preserve"> P</w:t>
      </w:r>
      <w:r w:rsidR="00040BAC">
        <w:rPr>
          <w:rFonts w:asciiTheme="majorHAnsi" w:hAnsiTheme="majorHAnsi"/>
        </w:rPr>
        <w:t>AC</w:t>
      </w:r>
      <w:r w:rsidR="005A7736" w:rsidRPr="00236850">
        <w:rPr>
          <w:rFonts w:asciiTheme="majorHAnsi" w:hAnsiTheme="majorHAnsi"/>
        </w:rPr>
        <w:t xml:space="preserve"> will host its inaugural New Student Convocation</w:t>
      </w:r>
      <w:r w:rsidR="002F6737" w:rsidRPr="00236850">
        <w:rPr>
          <w:rFonts w:asciiTheme="majorHAnsi" w:hAnsiTheme="majorHAnsi"/>
        </w:rPr>
        <w:t xml:space="preserve"> </w:t>
      </w:r>
      <w:r w:rsidR="005A7736" w:rsidRPr="00236850">
        <w:rPr>
          <w:rFonts w:asciiTheme="majorHAnsi" w:hAnsiTheme="majorHAnsi"/>
        </w:rPr>
        <w:t xml:space="preserve">(NSC). </w:t>
      </w:r>
      <w:r w:rsidR="002F6737" w:rsidRPr="00236850">
        <w:rPr>
          <w:rFonts w:asciiTheme="majorHAnsi" w:hAnsiTheme="majorHAnsi"/>
        </w:rPr>
        <w:t>All First Time in College (FTIC) students are</w:t>
      </w:r>
      <w:r w:rsidR="00040BAC">
        <w:rPr>
          <w:rFonts w:asciiTheme="majorHAnsi" w:hAnsiTheme="majorHAnsi"/>
        </w:rPr>
        <w:t xml:space="preserve"> invited </w:t>
      </w:r>
      <w:r w:rsidR="002F6737" w:rsidRPr="00236850">
        <w:rPr>
          <w:rFonts w:asciiTheme="majorHAnsi" w:hAnsiTheme="majorHAnsi"/>
        </w:rPr>
        <w:t>to attend NSC. NSC plans to host 400 students and guests.</w:t>
      </w:r>
      <w:r w:rsidR="005A7736" w:rsidRPr="00236850">
        <w:rPr>
          <w:rFonts w:asciiTheme="majorHAnsi" w:hAnsiTheme="majorHAnsi"/>
        </w:rPr>
        <w:t xml:space="preserve"> </w:t>
      </w:r>
    </w:p>
    <w:p w:rsidR="00236850" w:rsidRDefault="00236850" w:rsidP="005A7736">
      <w:pPr>
        <w:rPr>
          <w:rFonts w:asciiTheme="majorHAnsi" w:hAnsiTheme="majorHAnsi"/>
        </w:rPr>
      </w:pPr>
    </w:p>
    <w:p w:rsidR="00236850" w:rsidRPr="00236850" w:rsidRDefault="00236850" w:rsidP="003C448B">
      <w:pPr>
        <w:ind w:firstLine="7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NSC benefits students by:</w:t>
      </w:r>
    </w:p>
    <w:p w:rsidR="00B07510" w:rsidRPr="00236850" w:rsidRDefault="002F6737" w:rsidP="00271E68">
      <w:pPr>
        <w:pStyle w:val="ListParagraph"/>
        <w:numPr>
          <w:ilvl w:val="0"/>
          <w:numId w:val="22"/>
        </w:numPr>
        <w:ind w:left="900" w:hanging="180"/>
        <w:rPr>
          <w:rFonts w:asciiTheme="majorHAnsi" w:eastAsia="Times New Roman" w:hAnsiTheme="majorHAnsi"/>
        </w:rPr>
      </w:pPr>
      <w:r w:rsidRPr="00236850">
        <w:rPr>
          <w:rFonts w:asciiTheme="majorHAnsi" w:hAnsiTheme="majorHAnsi"/>
        </w:rPr>
        <w:t>Celebrating</w:t>
      </w:r>
      <w:r w:rsidR="00B07510" w:rsidRPr="00236850">
        <w:rPr>
          <w:rFonts w:asciiTheme="majorHAnsi" w:hAnsiTheme="majorHAnsi"/>
        </w:rPr>
        <w:t xml:space="preserve"> all new incoming students and the fact they have chosen </w:t>
      </w:r>
      <w:r w:rsidR="00040BAC">
        <w:rPr>
          <w:rFonts w:asciiTheme="majorHAnsi" w:hAnsiTheme="majorHAnsi"/>
        </w:rPr>
        <w:t>PAC</w:t>
      </w:r>
    </w:p>
    <w:p w:rsidR="00734FD3" w:rsidRPr="00236850" w:rsidRDefault="002F6737" w:rsidP="00271E68">
      <w:pPr>
        <w:pStyle w:val="ListParagraph"/>
        <w:numPr>
          <w:ilvl w:val="0"/>
          <w:numId w:val="22"/>
        </w:numPr>
        <w:spacing w:before="100" w:beforeAutospacing="1" w:after="100" w:afterAutospacing="1"/>
        <w:ind w:left="900" w:hanging="180"/>
        <w:rPr>
          <w:rFonts w:asciiTheme="majorHAnsi" w:eastAsia="Times New Roman" w:hAnsiTheme="majorHAnsi"/>
        </w:rPr>
      </w:pPr>
      <w:r w:rsidRPr="00236850">
        <w:rPr>
          <w:rFonts w:asciiTheme="majorHAnsi" w:eastAsia="Times New Roman" w:hAnsiTheme="majorHAnsi"/>
        </w:rPr>
        <w:t>Motivating</w:t>
      </w:r>
      <w:r w:rsidR="00734FD3" w:rsidRPr="00236850">
        <w:rPr>
          <w:rFonts w:asciiTheme="majorHAnsi" w:eastAsia="Times New Roman" w:hAnsiTheme="majorHAnsi"/>
        </w:rPr>
        <w:t xml:space="preserve"> all new incoming students as they begin their higher ed</w:t>
      </w:r>
      <w:r w:rsidR="00271E68">
        <w:rPr>
          <w:rFonts w:asciiTheme="majorHAnsi" w:eastAsia="Times New Roman" w:hAnsiTheme="majorHAnsi"/>
        </w:rPr>
        <w:t>ucation</w:t>
      </w:r>
      <w:r w:rsidR="00734FD3" w:rsidRPr="00236850">
        <w:rPr>
          <w:rFonts w:asciiTheme="majorHAnsi" w:eastAsia="Times New Roman" w:hAnsiTheme="majorHAnsi"/>
        </w:rPr>
        <w:t xml:space="preserve"> journey.</w:t>
      </w:r>
    </w:p>
    <w:p w:rsidR="00734FD3" w:rsidRPr="00236850" w:rsidRDefault="0070154C" w:rsidP="00271E68">
      <w:pPr>
        <w:pStyle w:val="ListParagraph"/>
        <w:numPr>
          <w:ilvl w:val="0"/>
          <w:numId w:val="22"/>
        </w:numPr>
        <w:spacing w:before="100" w:beforeAutospacing="1" w:after="100" w:afterAutospacing="1"/>
        <w:ind w:left="900" w:hanging="180"/>
        <w:rPr>
          <w:rFonts w:asciiTheme="majorHAnsi" w:eastAsia="Times New Roman" w:hAnsiTheme="majorHAnsi"/>
        </w:rPr>
      </w:pPr>
      <w:r w:rsidRPr="00236850">
        <w:rPr>
          <w:rFonts w:asciiTheme="majorHAnsi" w:eastAsia="Times New Roman" w:hAnsiTheme="majorHAnsi"/>
        </w:rPr>
        <w:lastRenderedPageBreak/>
        <w:t>Helping students u</w:t>
      </w:r>
      <w:r w:rsidR="00734FD3" w:rsidRPr="00236850">
        <w:rPr>
          <w:rFonts w:asciiTheme="majorHAnsi" w:eastAsia="Times New Roman" w:hAnsiTheme="majorHAnsi"/>
        </w:rPr>
        <w:t>nderstand and value being a part of the Palomino family.</w:t>
      </w:r>
    </w:p>
    <w:p w:rsidR="00AD4052" w:rsidRPr="00236850" w:rsidRDefault="004E7668" w:rsidP="00AD4052">
      <w:pPr>
        <w:spacing w:before="100" w:beforeAutospacing="1" w:after="100" w:afterAutospacing="1"/>
        <w:rPr>
          <w:rFonts w:asciiTheme="majorHAnsi" w:eastAsiaTheme="minorEastAsia" w:hAnsiTheme="majorHAnsi" w:cstheme="minorBidi"/>
          <w:kern w:val="24"/>
        </w:rPr>
      </w:pPr>
      <w:r w:rsidRPr="00236850">
        <w:rPr>
          <w:rFonts w:asciiTheme="majorHAnsi" w:eastAsia="Times New Roman" w:hAnsiTheme="majorHAnsi"/>
          <w:u w:val="single"/>
        </w:rPr>
        <w:t>Learning Communities</w:t>
      </w:r>
      <w:r w:rsidR="00AD4052" w:rsidRPr="00236850">
        <w:rPr>
          <w:rFonts w:asciiTheme="majorHAnsi" w:eastAsia="Times New Roman" w:hAnsiTheme="majorHAnsi"/>
        </w:rPr>
        <w:t>-</w:t>
      </w:r>
      <w:r w:rsidR="00AD4052" w:rsidRPr="00236850">
        <w:rPr>
          <w:rFonts w:asciiTheme="majorHAnsi" w:eastAsiaTheme="minorEastAsia" w:hAnsiTheme="majorHAnsi" w:cstheme="minorBidi"/>
          <w:kern w:val="24"/>
        </w:rPr>
        <w:t xml:space="preserve"> </w:t>
      </w:r>
      <w:r w:rsidR="00040BAC">
        <w:rPr>
          <w:rFonts w:asciiTheme="majorHAnsi" w:eastAsiaTheme="minorEastAsia" w:hAnsiTheme="majorHAnsi" w:cstheme="minorBidi"/>
          <w:kern w:val="24"/>
        </w:rPr>
        <w:t>PAC</w:t>
      </w:r>
      <w:r w:rsidR="0070154C" w:rsidRPr="00236850">
        <w:rPr>
          <w:rFonts w:asciiTheme="majorHAnsi" w:eastAsiaTheme="minorEastAsia" w:hAnsiTheme="majorHAnsi" w:cstheme="minorBidi"/>
          <w:kern w:val="24"/>
        </w:rPr>
        <w:t xml:space="preserve"> formally launched Learning Communities (LCs) during </w:t>
      </w:r>
      <w:r w:rsidR="007249B8">
        <w:rPr>
          <w:rFonts w:asciiTheme="majorHAnsi" w:eastAsiaTheme="minorEastAsia" w:hAnsiTheme="majorHAnsi" w:cstheme="minorBidi"/>
          <w:kern w:val="24"/>
        </w:rPr>
        <w:t>the last academic year with two</w:t>
      </w:r>
      <w:r w:rsidR="0070154C" w:rsidRPr="00236850">
        <w:rPr>
          <w:rFonts w:asciiTheme="majorHAnsi" w:eastAsiaTheme="minorEastAsia" w:hAnsiTheme="majorHAnsi" w:cstheme="minorBidi"/>
          <w:kern w:val="24"/>
        </w:rPr>
        <w:t xml:space="preserve"> Puente Program Learning communities. In a Learning Community, cohorts of students are enrolled in two or more courses for a semester; these classes feature intentionally integrated course work developed by faculty.</w:t>
      </w:r>
      <w:r w:rsidR="00030325" w:rsidRPr="00236850">
        <w:rPr>
          <w:rFonts w:asciiTheme="majorHAnsi" w:eastAsiaTheme="minorEastAsia" w:hAnsiTheme="majorHAnsi" w:cstheme="minorBidi"/>
          <w:kern w:val="24"/>
        </w:rPr>
        <w:t xml:space="preserve"> For </w:t>
      </w:r>
      <w:proofErr w:type="gramStart"/>
      <w:r w:rsidR="008457C6">
        <w:rPr>
          <w:rFonts w:asciiTheme="majorHAnsi" w:eastAsiaTheme="minorEastAsia" w:hAnsiTheme="majorHAnsi" w:cstheme="minorBidi"/>
          <w:kern w:val="24"/>
        </w:rPr>
        <w:t>F</w:t>
      </w:r>
      <w:r w:rsidR="00030325" w:rsidRPr="00236850">
        <w:rPr>
          <w:rFonts w:asciiTheme="majorHAnsi" w:eastAsiaTheme="minorEastAsia" w:hAnsiTheme="majorHAnsi" w:cstheme="minorBidi"/>
          <w:kern w:val="24"/>
        </w:rPr>
        <w:t>all</w:t>
      </w:r>
      <w:proofErr w:type="gramEnd"/>
      <w:r w:rsidR="00030325" w:rsidRPr="00236850">
        <w:rPr>
          <w:rFonts w:asciiTheme="majorHAnsi" w:eastAsiaTheme="minorEastAsia" w:hAnsiTheme="majorHAnsi" w:cstheme="minorBidi"/>
          <w:kern w:val="24"/>
        </w:rPr>
        <w:t xml:space="preserve"> 2013, PAC has increased our lea</w:t>
      </w:r>
      <w:r w:rsidR="00197FAA">
        <w:rPr>
          <w:rFonts w:asciiTheme="majorHAnsi" w:eastAsiaTheme="minorEastAsia" w:hAnsiTheme="majorHAnsi" w:cstheme="minorBidi"/>
          <w:kern w:val="24"/>
        </w:rPr>
        <w:t>rning communities to 19</w:t>
      </w:r>
      <w:r w:rsidR="00030325" w:rsidRPr="00236850">
        <w:rPr>
          <w:rFonts w:asciiTheme="majorHAnsi" w:eastAsiaTheme="minorEastAsia" w:hAnsiTheme="majorHAnsi" w:cstheme="minorBidi"/>
          <w:kern w:val="24"/>
        </w:rPr>
        <w:t xml:space="preserve">. </w:t>
      </w:r>
    </w:p>
    <w:p w:rsidR="0070154C" w:rsidRPr="00236850" w:rsidRDefault="003C448B" w:rsidP="00271E68">
      <w:pPr>
        <w:ind w:firstLine="720"/>
        <w:rPr>
          <w:rFonts w:asciiTheme="majorHAnsi" w:hAnsiTheme="majorHAnsi"/>
          <w:u w:val="single"/>
        </w:rPr>
      </w:pPr>
      <w:r>
        <w:rPr>
          <w:rFonts w:asciiTheme="majorHAnsi" w:eastAsiaTheme="minorEastAsia" w:hAnsiTheme="majorHAnsi" w:cstheme="minorBidi"/>
          <w:kern w:val="24"/>
          <w:u w:val="single"/>
        </w:rPr>
        <w:t xml:space="preserve">LCs </w:t>
      </w:r>
      <w:proofErr w:type="gramStart"/>
      <w:r>
        <w:rPr>
          <w:rFonts w:asciiTheme="majorHAnsi" w:eastAsiaTheme="minorEastAsia" w:hAnsiTheme="majorHAnsi" w:cstheme="minorBidi"/>
          <w:kern w:val="24"/>
          <w:u w:val="single"/>
        </w:rPr>
        <w:t>benefit</w:t>
      </w:r>
      <w:proofErr w:type="gramEnd"/>
      <w:r>
        <w:rPr>
          <w:rFonts w:asciiTheme="majorHAnsi" w:eastAsiaTheme="minorEastAsia" w:hAnsiTheme="majorHAnsi" w:cstheme="minorBidi"/>
          <w:kern w:val="24"/>
          <w:u w:val="single"/>
        </w:rPr>
        <w:t xml:space="preserve"> students</w:t>
      </w:r>
      <w:r w:rsidR="00271E68">
        <w:rPr>
          <w:rFonts w:asciiTheme="majorHAnsi" w:eastAsiaTheme="minorEastAsia" w:hAnsiTheme="majorHAnsi" w:cstheme="minorBidi"/>
          <w:kern w:val="24"/>
          <w:u w:val="single"/>
        </w:rPr>
        <w:t xml:space="preserve"> by</w:t>
      </w:r>
      <w:r w:rsidR="0070154C" w:rsidRPr="00236850">
        <w:rPr>
          <w:rFonts w:asciiTheme="majorHAnsi" w:eastAsiaTheme="minorEastAsia" w:hAnsiTheme="majorHAnsi" w:cstheme="minorBidi"/>
          <w:kern w:val="24"/>
          <w:u w:val="single"/>
        </w:rPr>
        <w:t>:</w:t>
      </w:r>
    </w:p>
    <w:p w:rsidR="00236850" w:rsidRPr="00236850" w:rsidRDefault="00236850" w:rsidP="00271E68">
      <w:pPr>
        <w:pStyle w:val="ListParagraph"/>
        <w:numPr>
          <w:ilvl w:val="0"/>
          <w:numId w:val="32"/>
        </w:numPr>
        <w:ind w:left="900" w:hanging="180"/>
        <w:contextualSpacing/>
        <w:rPr>
          <w:rFonts w:asciiTheme="majorHAnsi" w:hAnsiTheme="majorHAnsi"/>
        </w:rPr>
      </w:pPr>
      <w:r w:rsidRPr="00236850">
        <w:rPr>
          <w:rFonts w:asciiTheme="majorHAnsi" w:hAnsiTheme="majorHAnsi"/>
        </w:rPr>
        <w:t xml:space="preserve">Providing a peer support network.  Because students are enrolled as a cohort in two or more courses, they bond more readily and have easier access to forming study groups. </w:t>
      </w:r>
    </w:p>
    <w:p w:rsidR="00236850" w:rsidRPr="00236850" w:rsidRDefault="00236850" w:rsidP="00271E68">
      <w:pPr>
        <w:pStyle w:val="ListParagraph"/>
        <w:numPr>
          <w:ilvl w:val="0"/>
          <w:numId w:val="32"/>
        </w:numPr>
        <w:ind w:left="900" w:hanging="180"/>
        <w:contextualSpacing/>
        <w:rPr>
          <w:rFonts w:asciiTheme="majorHAnsi" w:hAnsiTheme="majorHAnsi"/>
        </w:rPr>
      </w:pPr>
      <w:r w:rsidRPr="00236850">
        <w:rPr>
          <w:rFonts w:asciiTheme="majorHAnsi" w:hAnsiTheme="majorHAnsi"/>
        </w:rPr>
        <w:t>Accelerating students’ educational pathways. Because students in LC experience higher success rates, they spend less time in developmental education and complete college courses more quickly.</w:t>
      </w:r>
    </w:p>
    <w:p w:rsidR="00236850" w:rsidRPr="00236850" w:rsidRDefault="00236850" w:rsidP="00271E68">
      <w:pPr>
        <w:pStyle w:val="ListParagraph"/>
        <w:numPr>
          <w:ilvl w:val="0"/>
          <w:numId w:val="32"/>
        </w:numPr>
        <w:ind w:left="900" w:hanging="180"/>
        <w:contextualSpacing/>
        <w:rPr>
          <w:rFonts w:asciiTheme="majorHAnsi" w:hAnsiTheme="majorHAnsi"/>
        </w:rPr>
      </w:pPr>
      <w:r w:rsidRPr="00236850">
        <w:rPr>
          <w:rFonts w:asciiTheme="majorHAnsi" w:hAnsiTheme="majorHAnsi"/>
        </w:rPr>
        <w:t>Enhancing students’ critical thinking skills through an integrative learning experience.</w:t>
      </w:r>
    </w:p>
    <w:p w:rsidR="00236850" w:rsidRPr="00236850" w:rsidRDefault="00236850" w:rsidP="00236850">
      <w:pPr>
        <w:rPr>
          <w:rFonts w:asciiTheme="majorHAnsi" w:hAnsiTheme="majorHAnsi"/>
          <w:u w:val="single"/>
        </w:rPr>
      </w:pPr>
    </w:p>
    <w:p w:rsidR="003C448B" w:rsidRDefault="00236850" w:rsidP="00236850">
      <w:pPr>
        <w:rPr>
          <w:rFonts w:asciiTheme="majorHAnsi" w:hAnsiTheme="majorHAnsi"/>
          <w:u w:val="single"/>
        </w:rPr>
      </w:pPr>
      <w:r w:rsidRPr="00236850">
        <w:rPr>
          <w:rFonts w:asciiTheme="majorHAnsi" w:hAnsiTheme="majorHAnsi"/>
          <w:u w:val="single"/>
        </w:rPr>
        <w:t>Peer Advising</w:t>
      </w:r>
      <w:r w:rsidR="003C448B">
        <w:rPr>
          <w:rFonts w:asciiTheme="majorHAnsi" w:hAnsiTheme="majorHAnsi"/>
          <w:u w:val="single"/>
        </w:rPr>
        <w:t>-</w:t>
      </w:r>
    </w:p>
    <w:p w:rsidR="003C448B" w:rsidRDefault="003C448B" w:rsidP="00236850">
      <w:pPr>
        <w:rPr>
          <w:rFonts w:asciiTheme="majorHAnsi" w:hAnsiTheme="majorHAnsi"/>
        </w:rPr>
      </w:pPr>
      <w:r w:rsidRPr="003C448B">
        <w:rPr>
          <w:rFonts w:asciiTheme="majorHAnsi" w:hAnsiTheme="majorHAnsi"/>
        </w:rPr>
        <w:t xml:space="preserve">Peer </w:t>
      </w:r>
      <w:proofErr w:type="gramStart"/>
      <w:r w:rsidRPr="003C448B">
        <w:rPr>
          <w:rFonts w:asciiTheme="majorHAnsi" w:hAnsiTheme="majorHAnsi"/>
        </w:rPr>
        <w:t>Advising</w:t>
      </w:r>
      <w:proofErr w:type="gramEnd"/>
      <w:r w:rsidRPr="003C448B">
        <w:rPr>
          <w:rFonts w:asciiTheme="majorHAnsi" w:hAnsiTheme="majorHAnsi"/>
        </w:rPr>
        <w:t xml:space="preserve"> is a new initiative beginning for the 2013-2014 academic year</w:t>
      </w:r>
      <w:r>
        <w:rPr>
          <w:rFonts w:asciiTheme="majorHAnsi" w:hAnsiTheme="majorHAnsi"/>
        </w:rPr>
        <w:t xml:space="preserve">. </w:t>
      </w:r>
      <w:r w:rsidR="00E86A17">
        <w:rPr>
          <w:rFonts w:asciiTheme="majorHAnsi" w:hAnsiTheme="majorHAnsi"/>
        </w:rPr>
        <w:t xml:space="preserve">The 27 </w:t>
      </w:r>
      <w:r>
        <w:rPr>
          <w:rFonts w:asciiTheme="majorHAnsi" w:hAnsiTheme="majorHAnsi"/>
        </w:rPr>
        <w:t xml:space="preserve">Peer Advisors </w:t>
      </w:r>
      <w:r w:rsidR="00E86A17">
        <w:rPr>
          <w:rFonts w:asciiTheme="majorHAnsi" w:hAnsiTheme="majorHAnsi"/>
        </w:rPr>
        <w:t xml:space="preserve">selected </w:t>
      </w:r>
      <w:r>
        <w:rPr>
          <w:rFonts w:asciiTheme="majorHAnsi" w:hAnsiTheme="majorHAnsi"/>
        </w:rPr>
        <w:t xml:space="preserve">are students who have completed at least 31 hours and have a GPA of 2.75 or greater. All First Time in College Students will be assigned a dedicated Peer Advisor and will receive contact from that Peer every week through phone calls, emails, and face to face interaction at events. </w:t>
      </w:r>
      <w:r w:rsidRPr="003C448B">
        <w:rPr>
          <w:rFonts w:asciiTheme="majorHAnsi" w:hAnsiTheme="majorHAnsi"/>
        </w:rPr>
        <w:t xml:space="preserve"> </w:t>
      </w:r>
    </w:p>
    <w:p w:rsidR="003C448B" w:rsidRDefault="003C448B" w:rsidP="00236850">
      <w:pPr>
        <w:rPr>
          <w:rFonts w:asciiTheme="majorHAnsi" w:hAnsiTheme="majorHAnsi"/>
        </w:rPr>
      </w:pPr>
    </w:p>
    <w:p w:rsidR="00236850" w:rsidRPr="00236850" w:rsidRDefault="003C448B" w:rsidP="003C448B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Peer Advis</w:t>
      </w:r>
      <w:r w:rsidR="00271E68">
        <w:rPr>
          <w:rFonts w:asciiTheme="majorHAnsi" w:hAnsiTheme="majorHAnsi"/>
          <w:u w:val="single"/>
        </w:rPr>
        <w:t xml:space="preserve">ing </w:t>
      </w:r>
      <w:r>
        <w:rPr>
          <w:rFonts w:asciiTheme="majorHAnsi" w:hAnsiTheme="majorHAnsi"/>
          <w:u w:val="single"/>
        </w:rPr>
        <w:t>benefit</w:t>
      </w:r>
      <w:r w:rsidR="00271E68">
        <w:rPr>
          <w:rFonts w:asciiTheme="majorHAnsi" w:hAnsiTheme="majorHAnsi"/>
          <w:u w:val="single"/>
        </w:rPr>
        <w:t>s</w:t>
      </w:r>
      <w:r w:rsidRPr="003C448B">
        <w:rPr>
          <w:rFonts w:asciiTheme="majorHAnsi" w:hAnsiTheme="majorHAnsi"/>
          <w:u w:val="single"/>
        </w:rPr>
        <w:t xml:space="preserve"> student</w:t>
      </w:r>
      <w:r>
        <w:rPr>
          <w:rFonts w:asciiTheme="majorHAnsi" w:hAnsiTheme="majorHAnsi"/>
          <w:u w:val="single"/>
        </w:rPr>
        <w:t>s</w:t>
      </w:r>
      <w:r w:rsidR="00271E68">
        <w:rPr>
          <w:rFonts w:asciiTheme="majorHAnsi" w:hAnsiTheme="majorHAnsi"/>
          <w:u w:val="single"/>
        </w:rPr>
        <w:t xml:space="preserve"> by</w:t>
      </w:r>
      <w:r>
        <w:rPr>
          <w:rFonts w:asciiTheme="majorHAnsi" w:hAnsiTheme="majorHAnsi"/>
        </w:rPr>
        <w:t>:</w:t>
      </w:r>
    </w:p>
    <w:p w:rsidR="00E86A17" w:rsidRDefault="00E86A17" w:rsidP="00271E68">
      <w:pPr>
        <w:pStyle w:val="ListParagraph"/>
        <w:numPr>
          <w:ilvl w:val="0"/>
          <w:numId w:val="33"/>
        </w:numPr>
        <w:ind w:left="900" w:hanging="18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Increasing student retention and graduation based on a similar program from Seneca College</w:t>
      </w:r>
    </w:p>
    <w:p w:rsidR="00236850" w:rsidRPr="00236850" w:rsidRDefault="003C448B" w:rsidP="00271E68">
      <w:pPr>
        <w:pStyle w:val="ListParagraph"/>
        <w:numPr>
          <w:ilvl w:val="0"/>
          <w:numId w:val="33"/>
        </w:numPr>
        <w:ind w:left="900" w:hanging="18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Serving</w:t>
      </w:r>
      <w:r w:rsidR="00236850" w:rsidRPr="00236850">
        <w:rPr>
          <w:rFonts w:asciiTheme="majorHAnsi" w:hAnsiTheme="majorHAnsi"/>
        </w:rPr>
        <w:t xml:space="preserve"> as a point of contact to help answer student questions.</w:t>
      </w:r>
    </w:p>
    <w:p w:rsidR="00236850" w:rsidRPr="00236850" w:rsidRDefault="003C448B" w:rsidP="00271E68">
      <w:pPr>
        <w:pStyle w:val="ListParagraph"/>
        <w:numPr>
          <w:ilvl w:val="0"/>
          <w:numId w:val="33"/>
        </w:numPr>
        <w:ind w:left="900" w:hanging="18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Guiding</w:t>
      </w:r>
      <w:r w:rsidR="00236850" w:rsidRPr="00236850">
        <w:rPr>
          <w:rFonts w:asciiTheme="majorHAnsi" w:hAnsiTheme="majorHAnsi"/>
        </w:rPr>
        <w:t xml:space="preserve"> students to academic advisor and appropriate resources.</w:t>
      </w:r>
    </w:p>
    <w:p w:rsidR="00236850" w:rsidRDefault="003C448B" w:rsidP="00271E68">
      <w:pPr>
        <w:pStyle w:val="ListParagraph"/>
        <w:numPr>
          <w:ilvl w:val="0"/>
          <w:numId w:val="33"/>
        </w:numPr>
        <w:ind w:left="900" w:hanging="18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Providing</w:t>
      </w:r>
      <w:r w:rsidR="00236850" w:rsidRPr="00236850">
        <w:rPr>
          <w:rFonts w:asciiTheme="majorHAnsi" w:hAnsiTheme="majorHAnsi"/>
        </w:rPr>
        <w:t xml:space="preserve"> support and encouragement to FTIC students. </w:t>
      </w:r>
    </w:p>
    <w:p w:rsidR="003C448B" w:rsidRPr="00236850" w:rsidRDefault="003C448B" w:rsidP="00271E68">
      <w:pPr>
        <w:pStyle w:val="ListParagraph"/>
        <w:numPr>
          <w:ilvl w:val="0"/>
          <w:numId w:val="33"/>
        </w:numPr>
        <w:ind w:left="900" w:hanging="18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Peer Advisors develop mentoring ski</w:t>
      </w:r>
      <w:r w:rsidR="00271E68">
        <w:rPr>
          <w:rFonts w:asciiTheme="majorHAnsi" w:hAnsiTheme="majorHAnsi"/>
        </w:rPr>
        <w:t>l</w:t>
      </w:r>
      <w:r>
        <w:rPr>
          <w:rFonts w:asciiTheme="majorHAnsi" w:hAnsiTheme="majorHAnsi"/>
        </w:rPr>
        <w:t>ls</w:t>
      </w:r>
    </w:p>
    <w:p w:rsidR="00236850" w:rsidRPr="00236850" w:rsidRDefault="00236850" w:rsidP="00236850">
      <w:pPr>
        <w:rPr>
          <w:rFonts w:asciiTheme="majorHAnsi" w:hAnsiTheme="majorHAnsi"/>
          <w:u w:val="single"/>
        </w:rPr>
      </w:pPr>
    </w:p>
    <w:p w:rsidR="00236850" w:rsidRPr="00236850" w:rsidRDefault="00236850" w:rsidP="00236850">
      <w:pPr>
        <w:rPr>
          <w:rFonts w:asciiTheme="majorHAnsi" w:hAnsiTheme="majorHAnsi"/>
          <w:u w:val="single"/>
        </w:rPr>
      </w:pPr>
      <w:r w:rsidRPr="00236850">
        <w:rPr>
          <w:rFonts w:asciiTheme="majorHAnsi" w:hAnsiTheme="majorHAnsi"/>
          <w:u w:val="single"/>
        </w:rPr>
        <w:t>Problem-based Learning (PBL)</w:t>
      </w:r>
    </w:p>
    <w:p w:rsidR="00236850" w:rsidRPr="00236850" w:rsidRDefault="00236850" w:rsidP="00236850">
      <w:pPr>
        <w:rPr>
          <w:rFonts w:asciiTheme="majorHAnsi" w:hAnsiTheme="majorHAnsi"/>
        </w:rPr>
      </w:pPr>
      <w:r w:rsidRPr="00236850">
        <w:rPr>
          <w:rFonts w:asciiTheme="majorHAnsi" w:hAnsiTheme="majorHAnsi"/>
        </w:rPr>
        <w:t xml:space="preserve">As illustrated by </w:t>
      </w:r>
      <w:r w:rsidR="008457C6">
        <w:rPr>
          <w:rFonts w:asciiTheme="majorHAnsi" w:hAnsiTheme="majorHAnsi"/>
        </w:rPr>
        <w:t>PAC’s</w:t>
      </w:r>
      <w:r w:rsidRPr="00236850">
        <w:rPr>
          <w:rFonts w:asciiTheme="majorHAnsi" w:hAnsiTheme="majorHAnsi"/>
        </w:rPr>
        <w:t xml:space="preserve"> QEP, PBL is an instructional strategy in which the instructor poses a challenging, interdisciplinary real world problem to students.  Through this active learning based strategy, the students develop an understanding of course content while solving </w:t>
      </w:r>
      <w:r w:rsidR="008457C6">
        <w:rPr>
          <w:rFonts w:asciiTheme="majorHAnsi" w:hAnsiTheme="majorHAnsi"/>
        </w:rPr>
        <w:t xml:space="preserve">the given problem. Since </w:t>
      </w:r>
      <w:proofErr w:type="gramStart"/>
      <w:r w:rsidR="008457C6">
        <w:rPr>
          <w:rFonts w:asciiTheme="majorHAnsi" w:hAnsiTheme="majorHAnsi"/>
        </w:rPr>
        <w:t>Summer</w:t>
      </w:r>
      <w:proofErr w:type="gramEnd"/>
      <w:r w:rsidR="00986E0C">
        <w:rPr>
          <w:rFonts w:asciiTheme="majorHAnsi" w:hAnsiTheme="majorHAnsi"/>
        </w:rPr>
        <w:t xml:space="preserve"> </w:t>
      </w:r>
      <w:r w:rsidRPr="00236850">
        <w:rPr>
          <w:rFonts w:asciiTheme="majorHAnsi" w:hAnsiTheme="majorHAnsi"/>
        </w:rPr>
        <w:t xml:space="preserve">2012, 27 faculty </w:t>
      </w:r>
      <w:r w:rsidR="008457C6">
        <w:rPr>
          <w:rFonts w:asciiTheme="majorHAnsi" w:hAnsiTheme="majorHAnsi"/>
        </w:rPr>
        <w:t xml:space="preserve">members </w:t>
      </w:r>
      <w:r w:rsidRPr="00236850">
        <w:rPr>
          <w:rFonts w:asciiTheme="majorHAnsi" w:hAnsiTheme="majorHAnsi"/>
        </w:rPr>
        <w:t>across disciplines have attended a three day PBL Summer Institute and developed a PBL assignment to administer in his or her class.</w:t>
      </w:r>
    </w:p>
    <w:p w:rsidR="00236850" w:rsidRPr="00236850" w:rsidRDefault="00236850" w:rsidP="00236850">
      <w:pPr>
        <w:rPr>
          <w:rFonts w:asciiTheme="majorHAnsi" w:hAnsiTheme="majorHAnsi"/>
        </w:rPr>
      </w:pPr>
    </w:p>
    <w:p w:rsidR="00236850" w:rsidRPr="00236850" w:rsidRDefault="00236850" w:rsidP="00271E68">
      <w:pPr>
        <w:ind w:left="720"/>
        <w:rPr>
          <w:rFonts w:asciiTheme="majorHAnsi" w:hAnsiTheme="majorHAnsi"/>
          <w:u w:val="single"/>
        </w:rPr>
      </w:pPr>
      <w:r w:rsidRPr="00236850">
        <w:rPr>
          <w:rFonts w:asciiTheme="majorHAnsi" w:hAnsiTheme="majorHAnsi"/>
          <w:u w:val="single"/>
        </w:rPr>
        <w:t>PBL benefits students by:</w:t>
      </w:r>
    </w:p>
    <w:p w:rsidR="00236850" w:rsidRPr="00236850" w:rsidRDefault="00236850" w:rsidP="00271E68">
      <w:pPr>
        <w:pStyle w:val="ListParagraph"/>
        <w:numPr>
          <w:ilvl w:val="0"/>
          <w:numId w:val="34"/>
        </w:numPr>
        <w:ind w:left="900" w:hanging="180"/>
        <w:contextualSpacing/>
        <w:rPr>
          <w:rFonts w:asciiTheme="majorHAnsi" w:hAnsiTheme="majorHAnsi"/>
        </w:rPr>
      </w:pPr>
      <w:r w:rsidRPr="00236850">
        <w:rPr>
          <w:rFonts w:asciiTheme="majorHAnsi" w:hAnsiTheme="majorHAnsi"/>
        </w:rPr>
        <w:t xml:space="preserve">Enhancing their educational experience at </w:t>
      </w:r>
      <w:r w:rsidR="008457C6">
        <w:rPr>
          <w:rFonts w:asciiTheme="majorHAnsi" w:hAnsiTheme="majorHAnsi"/>
        </w:rPr>
        <w:t>PAC</w:t>
      </w:r>
      <w:r w:rsidRPr="00236850">
        <w:rPr>
          <w:rFonts w:asciiTheme="majorHAnsi" w:hAnsiTheme="majorHAnsi"/>
        </w:rPr>
        <w:t>.  CCSSE student survey data noted that students desired more active learning in the classroom rather than lecture-driven instruction.</w:t>
      </w:r>
    </w:p>
    <w:p w:rsidR="00236850" w:rsidRPr="00236850" w:rsidRDefault="00236850" w:rsidP="00271E68">
      <w:pPr>
        <w:pStyle w:val="ListParagraph"/>
        <w:numPr>
          <w:ilvl w:val="0"/>
          <w:numId w:val="34"/>
        </w:numPr>
        <w:ind w:left="900" w:hanging="180"/>
        <w:contextualSpacing/>
        <w:rPr>
          <w:rFonts w:asciiTheme="majorHAnsi" w:hAnsiTheme="majorHAnsi"/>
        </w:rPr>
      </w:pPr>
      <w:r w:rsidRPr="00236850">
        <w:rPr>
          <w:rFonts w:asciiTheme="majorHAnsi" w:hAnsiTheme="majorHAnsi"/>
        </w:rPr>
        <w:t xml:space="preserve">Improving student learning outcomes.  During the 2012-2013 academic </w:t>
      </w:r>
      <w:proofErr w:type="gramStart"/>
      <w:r w:rsidRPr="00236850">
        <w:rPr>
          <w:rFonts w:asciiTheme="majorHAnsi" w:hAnsiTheme="majorHAnsi"/>
        </w:rPr>
        <w:t>year</w:t>
      </w:r>
      <w:proofErr w:type="gramEnd"/>
      <w:r w:rsidRPr="00236850">
        <w:rPr>
          <w:rFonts w:asciiTheme="majorHAnsi" w:hAnsiTheme="majorHAnsi"/>
        </w:rPr>
        <w:t xml:space="preserve">, students who participated in PBL submitted end-of-semester reflection papers.  In these reflections, students attested that they had enhanced their critical thinking, communication, teamwork, and personal responsibility skills through the completion of PBL activities.  </w:t>
      </w:r>
    </w:p>
    <w:p w:rsidR="00271668" w:rsidRPr="00236850" w:rsidRDefault="00271668" w:rsidP="00030325">
      <w:pPr>
        <w:spacing w:before="100" w:beforeAutospacing="1" w:after="100" w:afterAutospacing="1"/>
        <w:rPr>
          <w:rFonts w:asciiTheme="majorHAnsi" w:eastAsia="Times New Roman" w:hAnsiTheme="majorHAnsi"/>
        </w:rPr>
      </w:pPr>
    </w:p>
    <w:p w:rsidR="00CC4116" w:rsidRPr="00236850" w:rsidRDefault="00CC4116" w:rsidP="003A66FF">
      <w:pPr>
        <w:spacing w:before="100" w:beforeAutospacing="1" w:after="100" w:afterAutospacing="1"/>
        <w:rPr>
          <w:rFonts w:asciiTheme="majorHAnsi" w:eastAsia="Times New Roman" w:hAnsiTheme="majorHAnsi"/>
        </w:rPr>
      </w:pPr>
    </w:p>
    <w:sectPr w:rsidR="00CC4116" w:rsidRPr="00236850" w:rsidSect="00837295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E3" w:rsidRDefault="00FD26E3" w:rsidP="00AD4052">
      <w:r>
        <w:separator/>
      </w:r>
    </w:p>
  </w:endnote>
  <w:endnote w:type="continuationSeparator" w:id="0">
    <w:p w:rsidR="00FD26E3" w:rsidRDefault="00FD26E3" w:rsidP="00AD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E3" w:rsidRDefault="00FD26E3" w:rsidP="00AD4052">
      <w:r>
        <w:separator/>
      </w:r>
    </w:p>
  </w:footnote>
  <w:footnote w:type="continuationSeparator" w:id="0">
    <w:p w:rsidR="00FD26E3" w:rsidRDefault="00FD26E3" w:rsidP="00AD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37" w:rsidRDefault="002F6737">
    <w:pPr>
      <w:pStyle w:val="Header"/>
    </w:pPr>
    <w:r>
      <w:rPr>
        <w:rFonts w:eastAsia="Times New Roman"/>
        <w:noProof/>
        <w:color w:val="000000"/>
        <w:sz w:val="21"/>
        <w:szCs w:val="21"/>
      </w:rPr>
      <w:drawing>
        <wp:inline distT="0" distB="0" distL="0" distR="0" wp14:anchorId="27565AC0" wp14:editId="36E437F7">
          <wp:extent cx="1535502" cy="794735"/>
          <wp:effectExtent l="0" t="0" r="0" b="0"/>
          <wp:docPr id="4" name="Picture 4" descr="cid:D941FE60-9170-47F6-97C4-F233E81BF98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941FE60-9170-47F6-97C4-F233E81BF98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007" cy="79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C47"/>
    <w:multiLevelType w:val="hybridMultilevel"/>
    <w:tmpl w:val="73CCB7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463396"/>
    <w:multiLevelType w:val="hybridMultilevel"/>
    <w:tmpl w:val="5EFE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BAB"/>
    <w:multiLevelType w:val="hybridMultilevel"/>
    <w:tmpl w:val="7F98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2283"/>
    <w:multiLevelType w:val="hybridMultilevel"/>
    <w:tmpl w:val="713C9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B53B69"/>
    <w:multiLevelType w:val="hybridMultilevel"/>
    <w:tmpl w:val="EB468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5E645D"/>
    <w:multiLevelType w:val="hybridMultilevel"/>
    <w:tmpl w:val="322C0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2CF6"/>
    <w:multiLevelType w:val="hybridMultilevel"/>
    <w:tmpl w:val="F626D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913F2B"/>
    <w:multiLevelType w:val="hybridMultilevel"/>
    <w:tmpl w:val="1EF05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9A05C6"/>
    <w:multiLevelType w:val="hybridMultilevel"/>
    <w:tmpl w:val="76F2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26AC3"/>
    <w:multiLevelType w:val="hybridMultilevel"/>
    <w:tmpl w:val="2B140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7F63715"/>
    <w:multiLevelType w:val="hybridMultilevel"/>
    <w:tmpl w:val="F1D89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2E2B20"/>
    <w:multiLevelType w:val="hybridMultilevel"/>
    <w:tmpl w:val="55C2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71A5E"/>
    <w:multiLevelType w:val="hybridMultilevel"/>
    <w:tmpl w:val="5B96E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6D4B13"/>
    <w:multiLevelType w:val="multilevel"/>
    <w:tmpl w:val="BDF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03DCE"/>
    <w:multiLevelType w:val="hybridMultilevel"/>
    <w:tmpl w:val="7424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A24CE"/>
    <w:multiLevelType w:val="hybridMultilevel"/>
    <w:tmpl w:val="57DC05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9592DE0"/>
    <w:multiLevelType w:val="hybridMultilevel"/>
    <w:tmpl w:val="38265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CF7605F"/>
    <w:multiLevelType w:val="hybridMultilevel"/>
    <w:tmpl w:val="E1C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315FD"/>
    <w:multiLevelType w:val="hybridMultilevel"/>
    <w:tmpl w:val="6A56C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337957"/>
    <w:multiLevelType w:val="hybridMultilevel"/>
    <w:tmpl w:val="9BF48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1371BB"/>
    <w:multiLevelType w:val="hybridMultilevel"/>
    <w:tmpl w:val="7B6A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585C"/>
    <w:multiLevelType w:val="hybridMultilevel"/>
    <w:tmpl w:val="04580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E14C4F"/>
    <w:multiLevelType w:val="hybridMultilevel"/>
    <w:tmpl w:val="7EA0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60684"/>
    <w:multiLevelType w:val="hybridMultilevel"/>
    <w:tmpl w:val="CABE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13E4C"/>
    <w:multiLevelType w:val="hybridMultilevel"/>
    <w:tmpl w:val="6BBE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C3BCD"/>
    <w:multiLevelType w:val="hybridMultilevel"/>
    <w:tmpl w:val="EA72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A721F"/>
    <w:multiLevelType w:val="hybridMultilevel"/>
    <w:tmpl w:val="A1FE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B54D6"/>
    <w:multiLevelType w:val="hybridMultilevel"/>
    <w:tmpl w:val="9AF07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8CA2C55"/>
    <w:multiLevelType w:val="hybridMultilevel"/>
    <w:tmpl w:val="E00CC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1F4628"/>
    <w:multiLevelType w:val="hybridMultilevel"/>
    <w:tmpl w:val="7AF8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6402"/>
    <w:multiLevelType w:val="hybridMultilevel"/>
    <w:tmpl w:val="EF1C8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5771C"/>
    <w:multiLevelType w:val="hybridMultilevel"/>
    <w:tmpl w:val="70A0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18"/>
  </w:num>
  <w:num w:numId="9">
    <w:abstractNumId w:val="0"/>
  </w:num>
  <w:num w:numId="10">
    <w:abstractNumId w:val="4"/>
  </w:num>
  <w:num w:numId="11">
    <w:abstractNumId w:val="21"/>
  </w:num>
  <w:num w:numId="12">
    <w:abstractNumId w:val="28"/>
  </w:num>
  <w:num w:numId="13">
    <w:abstractNumId w:val="9"/>
  </w:num>
  <w:num w:numId="14">
    <w:abstractNumId w:val="19"/>
  </w:num>
  <w:num w:numId="15">
    <w:abstractNumId w:val="3"/>
  </w:num>
  <w:num w:numId="16">
    <w:abstractNumId w:val="16"/>
  </w:num>
  <w:num w:numId="17">
    <w:abstractNumId w:val="15"/>
  </w:num>
  <w:num w:numId="18">
    <w:abstractNumId w:val="27"/>
  </w:num>
  <w:num w:numId="19">
    <w:abstractNumId w:val="30"/>
  </w:num>
  <w:num w:numId="20">
    <w:abstractNumId w:val="23"/>
  </w:num>
  <w:num w:numId="21">
    <w:abstractNumId w:val="20"/>
  </w:num>
  <w:num w:numId="22">
    <w:abstractNumId w:val="25"/>
  </w:num>
  <w:num w:numId="23">
    <w:abstractNumId w:val="11"/>
  </w:num>
  <w:num w:numId="24">
    <w:abstractNumId w:val="29"/>
  </w:num>
  <w:num w:numId="25">
    <w:abstractNumId w:val="2"/>
  </w:num>
  <w:num w:numId="26">
    <w:abstractNumId w:val="31"/>
  </w:num>
  <w:num w:numId="27">
    <w:abstractNumId w:val="8"/>
  </w:num>
  <w:num w:numId="28">
    <w:abstractNumId w:val="22"/>
  </w:num>
  <w:num w:numId="29">
    <w:abstractNumId w:val="14"/>
  </w:num>
  <w:num w:numId="30">
    <w:abstractNumId w:val="31"/>
  </w:num>
  <w:num w:numId="31">
    <w:abstractNumId w:val="24"/>
  </w:num>
  <w:num w:numId="32">
    <w:abstractNumId w:val="17"/>
  </w:num>
  <w:num w:numId="33">
    <w:abstractNumId w:val="26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F"/>
    <w:rsid w:val="000204FB"/>
    <w:rsid w:val="000226B4"/>
    <w:rsid w:val="00030325"/>
    <w:rsid w:val="00040BAC"/>
    <w:rsid w:val="00197FAA"/>
    <w:rsid w:val="001B38A2"/>
    <w:rsid w:val="001F1BD0"/>
    <w:rsid w:val="00201BA2"/>
    <w:rsid w:val="00236850"/>
    <w:rsid w:val="00271668"/>
    <w:rsid w:val="00271E68"/>
    <w:rsid w:val="002F6737"/>
    <w:rsid w:val="003A66FF"/>
    <w:rsid w:val="003C448B"/>
    <w:rsid w:val="003F7D45"/>
    <w:rsid w:val="004E7668"/>
    <w:rsid w:val="0056426F"/>
    <w:rsid w:val="005A7736"/>
    <w:rsid w:val="005C2B65"/>
    <w:rsid w:val="005E630B"/>
    <w:rsid w:val="006B27F1"/>
    <w:rsid w:val="0070154C"/>
    <w:rsid w:val="007249B8"/>
    <w:rsid w:val="00734FD3"/>
    <w:rsid w:val="007B4022"/>
    <w:rsid w:val="00803A70"/>
    <w:rsid w:val="00806D5F"/>
    <w:rsid w:val="0083247F"/>
    <w:rsid w:val="00833867"/>
    <w:rsid w:val="00833DAC"/>
    <w:rsid w:val="00837295"/>
    <w:rsid w:val="008457C6"/>
    <w:rsid w:val="00871F45"/>
    <w:rsid w:val="009141E3"/>
    <w:rsid w:val="009230AB"/>
    <w:rsid w:val="00986E0C"/>
    <w:rsid w:val="009A44DF"/>
    <w:rsid w:val="009D4CBB"/>
    <w:rsid w:val="009F7EA9"/>
    <w:rsid w:val="00A15144"/>
    <w:rsid w:val="00A957EF"/>
    <w:rsid w:val="00AD4052"/>
    <w:rsid w:val="00B07510"/>
    <w:rsid w:val="00B169F0"/>
    <w:rsid w:val="00B20AC9"/>
    <w:rsid w:val="00CC4116"/>
    <w:rsid w:val="00CE3987"/>
    <w:rsid w:val="00D96A01"/>
    <w:rsid w:val="00E30038"/>
    <w:rsid w:val="00E86A17"/>
    <w:rsid w:val="00EF3656"/>
    <w:rsid w:val="00EF3EAF"/>
    <w:rsid w:val="00F1383F"/>
    <w:rsid w:val="00F721C9"/>
    <w:rsid w:val="00F957D5"/>
    <w:rsid w:val="00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6FF"/>
    <w:pPr>
      <w:ind w:left="720"/>
    </w:pPr>
  </w:style>
  <w:style w:type="table" w:styleId="TableGrid">
    <w:name w:val="Table Grid"/>
    <w:basedOn w:val="TableNormal"/>
    <w:uiPriority w:val="59"/>
    <w:rsid w:val="003A66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6F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A66F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66F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D4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4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05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4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5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247F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6FF"/>
    <w:pPr>
      <w:ind w:left="720"/>
    </w:pPr>
  </w:style>
  <w:style w:type="table" w:styleId="TableGrid">
    <w:name w:val="Table Grid"/>
    <w:basedOn w:val="TableNormal"/>
    <w:uiPriority w:val="59"/>
    <w:rsid w:val="003A66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6F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A66F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66F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D4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4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05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4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5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247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941FE60-9170-47F6-97C4-F233E81BF98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Coppola, Joseph</dc:creator>
  <cp:lastModifiedBy>Coppola, Joseph</cp:lastModifiedBy>
  <cp:revision>26</cp:revision>
  <cp:lastPrinted>2013-08-13T14:10:00Z</cp:lastPrinted>
  <dcterms:created xsi:type="dcterms:W3CDTF">2013-08-01T15:15:00Z</dcterms:created>
  <dcterms:modified xsi:type="dcterms:W3CDTF">2013-08-19T19:54:00Z</dcterms:modified>
</cp:coreProperties>
</file>